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en </w:t>
      </w:r>
      <w:r w:rsidR="00176528">
        <w:t>el año 202</w:t>
      </w:r>
      <w:r w:rsidR="00AD5596">
        <w:t>5</w:t>
      </w:r>
      <w:bookmarkStart w:id="0" w:name="_GoBack"/>
      <w:bookmarkEnd w:id="0"/>
      <w:r>
        <w:t xml:space="preserve">, </w:t>
      </w:r>
      <w:r w:rsidR="00176528">
        <w:t>no se han realizado gastos en concepto de patrocinio</w:t>
      </w:r>
      <w:r w:rsidR="00054D31"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D5596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477F937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76B7-D13F-4608-AFFA-1F998298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2026-05-23T15:59:00Z</dcterms:created>
  <dcterms:modified xsi:type="dcterms:W3CDTF">2026-05-23T15:59:00Z</dcterms:modified>
</cp:coreProperties>
</file>